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446C" w14:textId="5E73634C" w:rsidR="00D35F0B" w:rsidRDefault="00D35F0B">
      <w:pPr>
        <w:rPr>
          <w:rFonts w:ascii="Times New Roman" w:eastAsia="SimSun" w:hAnsi="Times New Roman" w:cs="Times New Roman"/>
          <w:szCs w:val="20"/>
        </w:rPr>
      </w:pPr>
    </w:p>
    <w:tbl>
      <w:tblPr>
        <w:tblW w:w="90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1"/>
      </w:tblGrid>
      <w:tr w:rsidR="001267C4" w:rsidRPr="001267C4" w14:paraId="36DAD14A" w14:textId="77777777" w:rsidTr="004D4D67">
        <w:trPr>
          <w:trHeight w:val="1291"/>
        </w:trPr>
        <w:tc>
          <w:tcPr>
            <w:tcW w:w="6530" w:type="dxa"/>
            <w:vAlign w:val="center"/>
          </w:tcPr>
          <w:p w14:paraId="579960C0" w14:textId="77777777" w:rsidR="001267C4" w:rsidRPr="001267C4" w:rsidRDefault="001267C4" w:rsidP="001267C4">
            <w:pPr>
              <w:spacing w:after="0" w:line="240" w:lineRule="auto"/>
              <w:ind w:left="-19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3221959E" w14:textId="77777777" w:rsidR="001267C4" w:rsidRPr="001267C4" w:rsidRDefault="001267C4" w:rsidP="001267C4">
            <w:pPr>
              <w:spacing w:after="0" w:line="240" w:lineRule="atLeast"/>
              <w:rPr>
                <w:rFonts w:ascii="Arial" w:eastAsia="SimSun" w:hAnsi="Arial" w:cs="Arial"/>
                <w:sz w:val="20"/>
                <w:szCs w:val="20"/>
              </w:rPr>
            </w:pPr>
            <w:r w:rsidRPr="001267C4">
              <w:rPr>
                <w:rFonts w:ascii="Arial" w:eastAsia="SimSun" w:hAnsi="Arial" w:cs="Arial"/>
                <w:b/>
                <w:sz w:val="20"/>
                <w:szCs w:val="20"/>
              </w:rPr>
              <w:t>Projekt nr POIS.02.02.00-00-0025/16 pn.: „Rozbudowa Zakładu Zagospodarowania Odpadów w Tczewie o sekcję wytwarzania kompostu i polepszaczy glebowych z odpadów ulegających biodegradacji wraz z rozbudową punktów selektywnego zbierania odpadów komunalnych”</w:t>
            </w:r>
          </w:p>
          <w:p w14:paraId="4D75AF81" w14:textId="77777777" w:rsidR="001267C4" w:rsidRPr="001267C4" w:rsidRDefault="001267C4" w:rsidP="001267C4">
            <w:pPr>
              <w:spacing w:after="0" w:line="240" w:lineRule="auto"/>
              <w:ind w:left="-19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1267C4" w:rsidRPr="001267C4" w14:paraId="0B1A9077" w14:textId="77777777" w:rsidTr="004D4D67">
        <w:trPr>
          <w:trHeight w:hRule="exact" w:val="240"/>
        </w:trPr>
        <w:tc>
          <w:tcPr>
            <w:tcW w:w="6530" w:type="dxa"/>
            <w:vAlign w:val="center"/>
          </w:tcPr>
          <w:p w14:paraId="039BCD2B" w14:textId="220BA2B9" w:rsidR="001267C4" w:rsidRPr="001267C4" w:rsidRDefault="001267C4" w:rsidP="001267C4">
            <w:pPr>
              <w:spacing w:after="0" w:line="240" w:lineRule="atLeast"/>
              <w:ind w:left="-19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267C4">
              <w:rPr>
                <w:rFonts w:ascii="Arial" w:eastAsia="SimSun" w:hAnsi="Arial" w:cs="Arial"/>
                <w:b/>
                <w:sz w:val="20"/>
                <w:szCs w:val="20"/>
              </w:rPr>
              <w:t>Beneficjent:</w:t>
            </w:r>
          </w:p>
        </w:tc>
      </w:tr>
      <w:tr w:rsidR="001267C4" w:rsidRPr="001267C4" w14:paraId="400ADB67" w14:textId="77777777" w:rsidTr="004D4D67">
        <w:trPr>
          <w:trHeight w:hRule="exact" w:val="398"/>
        </w:trPr>
        <w:tc>
          <w:tcPr>
            <w:tcW w:w="6530" w:type="dxa"/>
            <w:vAlign w:val="center"/>
          </w:tcPr>
          <w:p w14:paraId="1524CE4B" w14:textId="77777777" w:rsidR="001267C4" w:rsidRPr="001267C4" w:rsidRDefault="001267C4" w:rsidP="001267C4">
            <w:pPr>
              <w:spacing w:after="0" w:line="240" w:lineRule="atLeast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267C4">
              <w:rPr>
                <w:rFonts w:ascii="Arial" w:eastAsia="SimSun" w:hAnsi="Arial" w:cs="Arial"/>
                <w:b/>
                <w:sz w:val="20"/>
                <w:szCs w:val="20"/>
              </w:rPr>
              <w:t>Zakład Utylizacji Odpadów Stałych Sp. z o.o.</w:t>
            </w:r>
          </w:p>
        </w:tc>
      </w:tr>
      <w:tr w:rsidR="001267C4" w:rsidRPr="001267C4" w14:paraId="57F252F3" w14:textId="77777777" w:rsidTr="004D4D67">
        <w:trPr>
          <w:trHeight w:hRule="exact" w:val="285"/>
        </w:trPr>
        <w:tc>
          <w:tcPr>
            <w:tcW w:w="6530" w:type="dxa"/>
            <w:vAlign w:val="center"/>
          </w:tcPr>
          <w:p w14:paraId="457585BD" w14:textId="77777777" w:rsidR="001267C4" w:rsidRPr="001267C4" w:rsidRDefault="001267C4" w:rsidP="001267C4">
            <w:pPr>
              <w:spacing w:after="0" w:line="240" w:lineRule="atLeast"/>
              <w:ind w:left="-19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1267C4">
              <w:rPr>
                <w:rFonts w:ascii="Arial" w:eastAsia="SimSun" w:hAnsi="Arial" w:cs="Arial"/>
                <w:sz w:val="20"/>
                <w:szCs w:val="20"/>
              </w:rPr>
              <w:t>ul. Rokicka 5A, 83-110 Tczew</w:t>
            </w:r>
          </w:p>
          <w:p w14:paraId="1B3BFE62" w14:textId="77777777" w:rsidR="001267C4" w:rsidRPr="001267C4" w:rsidRDefault="001267C4" w:rsidP="001267C4">
            <w:pPr>
              <w:spacing w:after="0" w:line="240" w:lineRule="atLeast"/>
              <w:ind w:left="-19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  <w:p w14:paraId="7B8FD52E" w14:textId="48987136" w:rsidR="001267C4" w:rsidRPr="001267C4" w:rsidRDefault="001267C4" w:rsidP="001267C4">
            <w:pPr>
              <w:spacing w:after="0" w:line="240" w:lineRule="atLeast"/>
              <w:ind w:left="-19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14:paraId="5DF5DC65" w14:textId="7A2F47D8" w:rsidR="001267C4" w:rsidRPr="001267C4" w:rsidRDefault="001267C4">
      <w:pPr>
        <w:rPr>
          <w:rFonts w:ascii="Arial" w:hAnsi="Arial" w:cs="Arial"/>
          <w:sz w:val="20"/>
          <w:szCs w:val="20"/>
        </w:rPr>
      </w:pPr>
    </w:p>
    <w:p w14:paraId="2BA7BF80" w14:textId="77777777" w:rsidR="001267C4" w:rsidRPr="001267C4" w:rsidRDefault="001267C4" w:rsidP="001267C4">
      <w:pPr>
        <w:shd w:val="clear" w:color="auto" w:fill="FFFFFF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1267C4">
        <w:rPr>
          <w:rFonts w:ascii="Arial" w:eastAsia="SimSun" w:hAnsi="Arial" w:cs="Arial"/>
          <w:sz w:val="20"/>
          <w:szCs w:val="20"/>
          <w:lang w:eastAsia="pl-PL"/>
        </w:rPr>
        <w:t>Celem Projektu „</w:t>
      </w:r>
      <w:r w:rsidRPr="001267C4">
        <w:rPr>
          <w:rFonts w:ascii="Arial" w:eastAsia="SimSun" w:hAnsi="Arial" w:cs="Arial"/>
          <w:i/>
          <w:sz w:val="20"/>
          <w:szCs w:val="20"/>
        </w:rPr>
        <w:t>Rozbudowa Zakładu Zagospodarowania Odpadów w Tczewie o sekcję wytwarzania kompostu i polepszaczy glebowych z odpadów ulegających biodegradacji wraz z rozbudową punktów selektywnego zbierania odpadów komunalnych</w:t>
      </w:r>
      <w:r w:rsidRPr="001267C4">
        <w:rPr>
          <w:rFonts w:ascii="Arial" w:eastAsia="SimSun" w:hAnsi="Arial" w:cs="Arial"/>
          <w:sz w:val="20"/>
          <w:szCs w:val="20"/>
        </w:rPr>
        <w:t>”</w:t>
      </w:r>
      <w:r w:rsidRPr="001267C4">
        <w:rPr>
          <w:rFonts w:ascii="Arial" w:eastAsia="SimSun" w:hAnsi="Arial" w:cs="Arial"/>
          <w:sz w:val="20"/>
          <w:szCs w:val="20"/>
          <w:lang w:eastAsia="pl-PL"/>
        </w:rPr>
        <w:t xml:space="preserve"> jest optymalizacja funkcjonowania Regionalnej Instalacji Przetwarzania Odpadów Komunalnych w Tczewie w celu dalszego zmniejszenia ilości odpadów komunalnych podlegających składowaniu. Zostanie to osiągnięte dzięki wprowadzeniu dodatkowych kontrolowanych procesów przekształcania odpadów ulegających biodegradacji. Ponadto zostaną doposażone Punkty Selektywnego Zbierania Odpadów Komunalnych w Tczewie oraz Stegnie, dzięki czemu zracjonalizowaniu zostaną poddane procesy logistyki postępowania z odpadami w Regionie Wschodnim Województwa Pomorskiego. Projekt jest zgodny z Wojewódzkim Planem Gospodarki Odpadami, przyczynia się do osiągnięcia standardów wskazanych w dyrektywie 2008/98/WE w sprawie odpadów oraz dyrektywie 1999/31/WE w sprawie składowania odpadów. Zoptymalizowanie gospodarki odpadami przyniesie zarówno pozytywny efekt gospodarczy (ponowne wykorzystanie surowców), jak i polepszy jakość życia (zmniejszenie uciążliwości związanych z nadmiernym składowaniem odpadów).</w:t>
      </w:r>
    </w:p>
    <w:p w14:paraId="5D6A5A97" w14:textId="77777777" w:rsidR="001267C4" w:rsidRPr="001267C4" w:rsidRDefault="001267C4" w:rsidP="001267C4">
      <w:pPr>
        <w:shd w:val="clear" w:color="auto" w:fill="FFFFFF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14:paraId="5422472E" w14:textId="514E7DAE" w:rsidR="001267C4" w:rsidRPr="001267C4" w:rsidRDefault="001267C4" w:rsidP="001267C4">
      <w:pPr>
        <w:shd w:val="clear" w:color="auto" w:fill="FFFFFF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1267C4">
        <w:rPr>
          <w:rFonts w:ascii="Arial" w:eastAsia="SimSun" w:hAnsi="Arial" w:cs="Arial"/>
          <w:sz w:val="20"/>
          <w:szCs w:val="20"/>
          <w:lang w:eastAsia="pl-PL"/>
        </w:rPr>
        <w:t>Rozszerzenie Projektu wprowadzone Aneksem nr 2 do UoD pn.: „Budowa hali nad segmentem podawania frakcji bio” przyczyni się do zwiększenia wydajności i efektywności podawania odpadów bio bezpośrednio do kompostowni. Proces będzie mógł być prowadzony niezależnie od warunków atmosferycznych. Dodatkowo poprawie ulegnie struktura podawanych odpadów, które utrzymane zostaną w stałej pożądanej wilgotności. Zaletą wybudowania hali jest ograniczenie negatywnego oddziaływania na środowisko instalacji podawania odpadów bio – przede wszystkim ograniczona zostanie emisja substancji złowonnych. Rozszerzenie Projektu o nowe zadanie inwestycyjne spowodowało zwiększenie wartości Projektu o dodatkowe koszty Pomocy Technicznej, Inspektora Nadzoru i zarządzania Projektem.</w:t>
      </w:r>
    </w:p>
    <w:p w14:paraId="02E43092" w14:textId="60E3B2FD" w:rsidR="001267C4" w:rsidRPr="001267C4" w:rsidRDefault="001267C4">
      <w:pPr>
        <w:rPr>
          <w:rFonts w:ascii="Arial" w:hAnsi="Arial" w:cs="Arial"/>
          <w:sz w:val="20"/>
          <w:szCs w:val="20"/>
        </w:rPr>
      </w:pPr>
    </w:p>
    <w:p w14:paraId="1A5680A2" w14:textId="16B8CC47" w:rsidR="001267C4" w:rsidRPr="001267C4" w:rsidRDefault="001267C4">
      <w:pPr>
        <w:rPr>
          <w:rFonts w:ascii="Arial" w:hAnsi="Arial" w:cs="Arial"/>
          <w:sz w:val="20"/>
          <w:szCs w:val="20"/>
        </w:rPr>
      </w:pPr>
      <w:r w:rsidRPr="001267C4">
        <w:rPr>
          <w:rFonts w:ascii="Arial" w:hAnsi="Arial" w:cs="Arial"/>
          <w:sz w:val="20"/>
          <w:szCs w:val="20"/>
        </w:rPr>
        <w:t>Wartość Projektu:</w:t>
      </w:r>
    </w:p>
    <w:p w14:paraId="5786E45D" w14:textId="77777777" w:rsidR="001267C4" w:rsidRPr="001267C4" w:rsidRDefault="001267C4" w:rsidP="001267C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120" w:line="240" w:lineRule="auto"/>
        <w:jc w:val="both"/>
        <w:rPr>
          <w:rFonts w:ascii="Arial" w:eastAsia="SimSun" w:hAnsi="Arial" w:cs="Arial"/>
          <w:i/>
          <w:iCs/>
          <w:color w:val="1F4E79"/>
          <w:sz w:val="18"/>
          <w:szCs w:val="18"/>
        </w:rPr>
      </w:pPr>
      <w:r w:rsidRPr="001267C4">
        <w:rPr>
          <w:rFonts w:ascii="Arial" w:eastAsia="SimSun" w:hAnsi="Arial" w:cs="Arial"/>
          <w:i/>
          <w:iCs/>
          <w:color w:val="1F4E79"/>
          <w:sz w:val="18"/>
          <w:szCs w:val="18"/>
        </w:rPr>
        <w:t xml:space="preserve">Aneks do Umowy o dofinansowanie nr </w:t>
      </w:r>
      <w:r w:rsidRPr="001267C4">
        <w:rPr>
          <w:rFonts w:ascii="Arial" w:eastAsia="SimSun" w:hAnsi="Arial" w:cs="Arial"/>
          <w:b/>
          <w:bCs/>
          <w:i/>
          <w:iCs/>
          <w:color w:val="1F4E79"/>
          <w:sz w:val="18"/>
          <w:szCs w:val="18"/>
          <w:lang w:eastAsia="pl-PL"/>
        </w:rPr>
        <w:t xml:space="preserve">POIS.02.02.00-00-0025/16-02 </w:t>
      </w:r>
      <w:r w:rsidRPr="001267C4">
        <w:rPr>
          <w:rFonts w:ascii="Arial" w:eastAsia="SimSun" w:hAnsi="Arial" w:cs="Arial"/>
          <w:i/>
          <w:iCs/>
          <w:color w:val="1F4E79"/>
          <w:sz w:val="18"/>
          <w:szCs w:val="18"/>
        </w:rPr>
        <w:t xml:space="preserve">z dnia 2 lipca 2020 r. r. </w:t>
      </w:r>
    </w:p>
    <w:p w14:paraId="6CF3AE55" w14:textId="77777777" w:rsidR="001267C4" w:rsidRPr="001267C4" w:rsidRDefault="001267C4" w:rsidP="001267C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rFonts w:ascii="Arial" w:eastAsia="SimSun" w:hAnsi="Arial" w:cs="Arial"/>
          <w:b/>
          <w:color w:val="1F4E79"/>
          <w:sz w:val="18"/>
          <w:szCs w:val="18"/>
        </w:rPr>
      </w:pP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>Całkowity koszt realizacji projektu</w:t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ab/>
        <w:t>19 270 985,93 zł</w:t>
      </w:r>
    </w:p>
    <w:p w14:paraId="5B73D7F5" w14:textId="77777777" w:rsidR="001267C4" w:rsidRPr="001267C4" w:rsidRDefault="001267C4" w:rsidP="001267C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rFonts w:ascii="Arial" w:eastAsia="SimSun" w:hAnsi="Arial" w:cs="Arial"/>
          <w:color w:val="1F4E79"/>
          <w:sz w:val="18"/>
          <w:szCs w:val="18"/>
        </w:rPr>
      </w:pPr>
      <w:r w:rsidRPr="001267C4">
        <w:rPr>
          <w:rFonts w:ascii="Arial" w:eastAsia="SimSun" w:hAnsi="Arial" w:cs="Arial"/>
          <w:color w:val="1F4E79"/>
          <w:sz w:val="18"/>
          <w:szCs w:val="18"/>
        </w:rPr>
        <w:t>Koszty kwalifikowane</w:t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  <w:t>16 242 162,97 zł</w:t>
      </w:r>
    </w:p>
    <w:p w14:paraId="0630AD32" w14:textId="77777777" w:rsidR="001267C4" w:rsidRPr="001267C4" w:rsidRDefault="001267C4" w:rsidP="001267C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rFonts w:ascii="Arial" w:eastAsia="SimSun" w:hAnsi="Arial" w:cs="Arial"/>
          <w:color w:val="1F4E79"/>
          <w:sz w:val="18"/>
          <w:szCs w:val="18"/>
        </w:rPr>
      </w:pPr>
      <w:r w:rsidRPr="001267C4">
        <w:rPr>
          <w:rFonts w:ascii="Arial" w:eastAsia="SimSun" w:hAnsi="Arial" w:cs="Arial"/>
          <w:color w:val="1F4E79"/>
          <w:sz w:val="18"/>
          <w:szCs w:val="18"/>
        </w:rPr>
        <w:t>Koszty niekwalifikowane (VAT)</w:t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  <w:t xml:space="preserve">  3 668 997,48 zł</w:t>
      </w:r>
    </w:p>
    <w:p w14:paraId="14710CD1" w14:textId="77777777" w:rsidR="001267C4" w:rsidRPr="001267C4" w:rsidRDefault="001267C4" w:rsidP="001267C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rFonts w:ascii="Arial" w:eastAsia="SimSun" w:hAnsi="Arial" w:cs="Arial"/>
          <w:b/>
          <w:color w:val="1F4E79"/>
          <w:sz w:val="18"/>
          <w:szCs w:val="18"/>
        </w:rPr>
      </w:pP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 xml:space="preserve">Kwota wydatków kwalifikowanych </w:t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ab/>
        <w:t>12 993 730,38 zł</w:t>
      </w:r>
    </w:p>
    <w:p w14:paraId="50056380" w14:textId="77777777" w:rsidR="001267C4" w:rsidRPr="001267C4" w:rsidRDefault="001267C4" w:rsidP="001267C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rFonts w:ascii="Arial" w:eastAsia="SimSun" w:hAnsi="Arial" w:cs="Arial"/>
          <w:b/>
          <w:color w:val="1F4E79"/>
          <w:sz w:val="18"/>
          <w:szCs w:val="18"/>
        </w:rPr>
      </w:pP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 xml:space="preserve">Dofinansowanie </w:t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ab/>
        <w:t>11 044 670,81 zł</w:t>
      </w:r>
    </w:p>
    <w:p w14:paraId="79C6FA77" w14:textId="77777777" w:rsidR="001267C4" w:rsidRPr="001267C4" w:rsidRDefault="001267C4" w:rsidP="001267C4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highlight w:val="yellow"/>
        </w:rPr>
      </w:pPr>
    </w:p>
    <w:p w14:paraId="6183A6AF" w14:textId="77777777" w:rsidR="001267C4" w:rsidRPr="001267C4" w:rsidRDefault="001267C4" w:rsidP="001267C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120" w:line="240" w:lineRule="auto"/>
        <w:jc w:val="both"/>
        <w:rPr>
          <w:rFonts w:ascii="Arial" w:eastAsia="SimSun" w:hAnsi="Arial" w:cs="Arial"/>
          <w:i/>
          <w:iCs/>
          <w:color w:val="1F4E79"/>
          <w:sz w:val="18"/>
          <w:szCs w:val="18"/>
        </w:rPr>
      </w:pPr>
      <w:r w:rsidRPr="001267C4">
        <w:rPr>
          <w:rFonts w:ascii="Arial" w:eastAsia="SimSun" w:hAnsi="Arial" w:cs="Arial"/>
          <w:i/>
          <w:iCs/>
          <w:color w:val="1F4E79"/>
          <w:sz w:val="18"/>
          <w:szCs w:val="18"/>
        </w:rPr>
        <w:t xml:space="preserve">NFOŚiGW Umowa pożyczki nr </w:t>
      </w:r>
      <w:r w:rsidRPr="001267C4">
        <w:rPr>
          <w:rFonts w:ascii="Arial" w:eastAsia="SimSun" w:hAnsi="Arial" w:cs="Arial"/>
          <w:b/>
          <w:i/>
          <w:iCs/>
          <w:color w:val="1F4E79"/>
          <w:sz w:val="18"/>
          <w:szCs w:val="18"/>
        </w:rPr>
        <w:t xml:space="preserve">99/2019/Wn11/OZ-uk-yo/P </w:t>
      </w:r>
      <w:r w:rsidRPr="001267C4">
        <w:rPr>
          <w:rFonts w:ascii="Arial" w:eastAsia="SimSun" w:hAnsi="Arial" w:cs="Arial"/>
          <w:i/>
          <w:iCs/>
          <w:color w:val="1F4E79"/>
          <w:sz w:val="18"/>
          <w:szCs w:val="18"/>
        </w:rPr>
        <w:t xml:space="preserve">z dnia 18 kwietnia 2019 r. </w:t>
      </w:r>
    </w:p>
    <w:p w14:paraId="129E605E" w14:textId="77777777" w:rsidR="001267C4" w:rsidRPr="001267C4" w:rsidRDefault="001267C4" w:rsidP="001267C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rFonts w:ascii="Arial" w:eastAsia="SimSun" w:hAnsi="Arial" w:cs="Arial"/>
          <w:color w:val="1F4E79"/>
          <w:sz w:val="18"/>
          <w:szCs w:val="18"/>
        </w:rPr>
      </w:pP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>Kwota pożyczki</w:t>
      </w:r>
      <w:r w:rsidRPr="001267C4">
        <w:rPr>
          <w:rFonts w:ascii="Arial" w:eastAsia="SimSun" w:hAnsi="Arial" w:cs="Arial"/>
          <w:color w:val="1F4E79"/>
          <w:sz w:val="18"/>
          <w:szCs w:val="18"/>
        </w:rPr>
        <w:t xml:space="preserve"> </w:t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color w:val="1F4E79"/>
          <w:sz w:val="18"/>
          <w:szCs w:val="18"/>
        </w:rPr>
        <w:tab/>
      </w:r>
      <w:r w:rsidRPr="001267C4">
        <w:rPr>
          <w:rFonts w:ascii="Arial" w:eastAsia="SimSun" w:hAnsi="Arial" w:cs="Arial"/>
          <w:b/>
          <w:color w:val="1F4E79"/>
          <w:sz w:val="18"/>
          <w:szCs w:val="18"/>
        </w:rPr>
        <w:t>3 000 000,00 zł</w:t>
      </w:r>
    </w:p>
    <w:p w14:paraId="4EF0385D" w14:textId="3CA57F89" w:rsidR="001267C4" w:rsidRPr="00C23404" w:rsidRDefault="001267C4">
      <w:pPr>
        <w:rPr>
          <w:sz w:val="20"/>
          <w:szCs w:val="20"/>
        </w:rPr>
      </w:pPr>
    </w:p>
    <w:p w14:paraId="341A8595" w14:textId="5C531422" w:rsidR="00C23404" w:rsidRPr="00C23404" w:rsidRDefault="00C23404" w:rsidP="00C23404">
      <w:pPr>
        <w:jc w:val="both"/>
        <w:rPr>
          <w:sz w:val="20"/>
          <w:szCs w:val="20"/>
        </w:rPr>
      </w:pPr>
      <w:r w:rsidRPr="00C23404">
        <w:rPr>
          <w:rFonts w:ascii="07 Times Normaal" w:eastAsia="SimSun" w:hAnsi="07 Times Normaal" w:cs="Times New Roman"/>
          <w:sz w:val="20"/>
          <w:szCs w:val="20"/>
        </w:rPr>
        <w:t xml:space="preserve">W dniu 06.09.2021r. roboty na ostatnim z kontraktów na roboty budowlane </w:t>
      </w:r>
      <w:r w:rsidRPr="001267C4">
        <w:rPr>
          <w:rFonts w:ascii="Arial" w:eastAsia="SimSun" w:hAnsi="Arial" w:cs="Arial"/>
          <w:sz w:val="20"/>
          <w:szCs w:val="20"/>
          <w:lang w:eastAsia="pl-PL"/>
        </w:rPr>
        <w:t xml:space="preserve">„Budowa hali nad segmentem podawania frakcji bio” </w:t>
      </w:r>
      <w:r w:rsidRPr="00C23404">
        <w:rPr>
          <w:rFonts w:ascii="Arial" w:eastAsia="SimSun" w:hAnsi="Arial" w:cs="Arial"/>
          <w:sz w:val="20"/>
          <w:szCs w:val="20"/>
          <w:lang w:eastAsia="pl-PL"/>
        </w:rPr>
        <w:t xml:space="preserve"> (</w:t>
      </w:r>
      <w:r w:rsidRPr="00C23404">
        <w:rPr>
          <w:rFonts w:ascii="07 Times Normaal" w:eastAsia="SimSun" w:hAnsi="07 Times Normaal" w:cs="Times New Roman"/>
          <w:sz w:val="20"/>
          <w:szCs w:val="20"/>
        </w:rPr>
        <w:t xml:space="preserve">zadanie nr 9) zostały zakończone protokolarnie (protokół odbioru końcowego robót). W dniu 06.09.2021r. został również podpisany przez inspektora nadzoru Protokół Odbioru Końcowego. Podczas odbioru końcowego nie stwierdzono usterek/wad/drobnych zaległości. </w:t>
      </w:r>
      <w:r w:rsidRPr="00C23404">
        <w:rPr>
          <w:rFonts w:ascii="07 Times Normaal" w:eastAsia="SimSun" w:hAnsi="07 Times Normaal" w:cs="Times New Roman"/>
          <w:sz w:val="20"/>
          <w:szCs w:val="20"/>
        </w:rPr>
        <w:lastRenderedPageBreak/>
        <w:t>W dniu 06.09.2021r. Wykonawca protokolarnie przekazał dokumentację powykonawczą, projekty powykonawcze, dziennik budowy i inwentaryzację powykonawczą.</w:t>
      </w:r>
    </w:p>
    <w:sectPr w:rsidR="00C23404" w:rsidRPr="00C23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ADAC" w14:textId="77777777" w:rsidR="00CD4C4D" w:rsidRDefault="00CD4C4D" w:rsidP="0014007D">
      <w:pPr>
        <w:spacing w:after="0" w:line="240" w:lineRule="auto"/>
      </w:pPr>
      <w:r>
        <w:separator/>
      </w:r>
    </w:p>
  </w:endnote>
  <w:endnote w:type="continuationSeparator" w:id="0">
    <w:p w14:paraId="2AF7818B" w14:textId="77777777" w:rsidR="00CD4C4D" w:rsidRDefault="00CD4C4D" w:rsidP="0014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7 Times Norma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21FA" w14:textId="77777777" w:rsidR="0014007D" w:rsidRDefault="001400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B76A" w14:textId="77777777" w:rsidR="0014007D" w:rsidRDefault="001400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BCCC" w14:textId="77777777" w:rsidR="0014007D" w:rsidRDefault="00140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5183" w14:textId="77777777" w:rsidR="00CD4C4D" w:rsidRDefault="00CD4C4D" w:rsidP="0014007D">
      <w:pPr>
        <w:spacing w:after="0" w:line="240" w:lineRule="auto"/>
      </w:pPr>
      <w:r>
        <w:separator/>
      </w:r>
    </w:p>
  </w:footnote>
  <w:footnote w:type="continuationSeparator" w:id="0">
    <w:p w14:paraId="57ABC65F" w14:textId="77777777" w:rsidR="00CD4C4D" w:rsidRDefault="00CD4C4D" w:rsidP="0014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5558" w14:textId="77777777" w:rsidR="0014007D" w:rsidRDefault="00140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C95B" w14:textId="65336AF2" w:rsidR="0014007D" w:rsidRDefault="0014007D">
    <w:pPr>
      <w:pStyle w:val="Nagwek"/>
    </w:pPr>
    <w:r w:rsidRPr="00BA42C7">
      <w:rPr>
        <w:rFonts w:ascii="Times New Roman" w:eastAsia="Times New Roman" w:hAnsi="Times New Roman" w:cs="Calibri"/>
        <w:noProof/>
        <w:sz w:val="20"/>
        <w:szCs w:val="24"/>
        <w:lang w:eastAsia="pl-PL"/>
      </w:rPr>
      <w:drawing>
        <wp:inline distT="0" distB="0" distL="0" distR="0" wp14:anchorId="009AC599" wp14:editId="4C9B1F7A">
          <wp:extent cx="5543550" cy="7239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6029" w14:textId="77777777" w:rsidR="0014007D" w:rsidRDefault="001400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4"/>
    <w:rsid w:val="001267C4"/>
    <w:rsid w:val="0014007D"/>
    <w:rsid w:val="001A40ED"/>
    <w:rsid w:val="00C23404"/>
    <w:rsid w:val="00CD4C4D"/>
    <w:rsid w:val="00D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B3E8"/>
  <w15:chartTrackingRefBased/>
  <w15:docId w15:val="{EC0766B9-3781-4532-B66D-72D9ACE7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07D"/>
  </w:style>
  <w:style w:type="paragraph" w:styleId="Stopka">
    <w:name w:val="footer"/>
    <w:basedOn w:val="Normalny"/>
    <w:link w:val="StopkaZnak"/>
    <w:uiPriority w:val="99"/>
    <w:unhideWhenUsed/>
    <w:rsid w:val="0014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3</cp:revision>
  <dcterms:created xsi:type="dcterms:W3CDTF">2021-12-13T10:52:00Z</dcterms:created>
  <dcterms:modified xsi:type="dcterms:W3CDTF">2022-01-05T06:08:00Z</dcterms:modified>
</cp:coreProperties>
</file>